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b/>
          <w:color w:val="6B6B6B"/>
          <w:sz w:val="17"/>
        </w:rPr>
        <w:t>IMC PM TOOLKIT · SESSION 2 · BLANK TEMPLATE</w:t>
      </w:r>
    </w:p>
    <w:p>
      <w:pPr>
        <w:spacing w:after="0"/>
      </w:pPr>
      <w:r>
        <w:rPr>
          <w:b/>
          <w:color w:val="1F3A34"/>
          <w:sz w:val="38"/>
        </w:rPr>
        <w:t>RAG Status Report</w:t>
      </w:r>
    </w:p>
    <w:p>
      <w:pPr>
        <w:spacing w:after="160"/>
      </w:pPr>
      <w:r>
        <w:rPr>
          <w:color w:val="6B6B6B"/>
          <w:sz w:val="21"/>
        </w:rPr>
        <w:t>The weekly 1-page snapshot. Color is a conversation starter, not a verdict.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Project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Report date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PM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Sponsor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 xml:space="preserve"> 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 xml:space="preserve"> 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 xml:space="preserve"> </w:t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  <w:t xml:space="preserve"> </w:t>
            </w:r>
          </w:p>
        </w:tc>
      </w:tr>
    </w:tbl>
    <w:p>
      <w:pPr>
        <w:spacing w:before="160" w:after="40"/>
      </w:pPr>
      <w:r>
        <w:rPr>
          <w:b/>
          <w:color w:val="1F3A34"/>
          <w:sz w:val="22"/>
        </w:rPr>
        <w:t>Outcome (one sentence)</w:t>
      </w:r>
    </w:p>
    <w:p>
      <w:r>
        <w:t>(What does done look like? Copy from the charter goal.)</w:t>
      </w:r>
    </w:p>
    <w:p>
      <w:pPr>
        <w:spacing w:before="160" w:after="40"/>
      </w:pPr>
      <w:r>
        <w:rPr>
          <w:b/>
          <w:color w:val="1F3A34"/>
          <w:sz w:val="22"/>
        </w:rPr>
        <w:t>Status by dimension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152"/>
        <w:gridCol w:w="4320"/>
        <w:gridCol w:w="2592"/>
      </w:tblGrid>
      <w:tr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Dimension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R/A/G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Why (if not green)</w:t>
            </w:r>
          </w:p>
        </w:tc>
        <w:tc>
          <w:tcPr>
            <w:tcW w:type="dxa" w:w="2556"/>
            <w:shd w:val="clear" w:color="auto" w:fill="1F3A34"/>
          </w:tcPr>
          <w:p>
            <w:r/>
            <w:r>
              <w:rPr>
                <w:b/>
                <w:color w:val="FFFFFF"/>
                <w:sz w:val="18"/>
              </w:rPr>
              <w:t>Next action — owner</w:t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9"/>
              </w:rPr>
              <w:t>Scope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b/>
                <w:sz w:val="19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9"/>
              </w:rPr>
              <w:t>Schedule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b/>
                <w:sz w:val="19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9"/>
              </w:rPr>
              <w:t>Cost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b/>
                <w:sz w:val="19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9"/>
              </w:rPr>
              <w:t>Risk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b/>
                <w:sz w:val="19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</w:r>
          </w:p>
        </w:tc>
      </w:tr>
      <w:tr>
        <w:tc>
          <w:tcPr>
            <w:tcW w:type="dxa" w:w="2556"/>
          </w:tcPr>
          <w:p>
            <w:r/>
            <w:r>
              <w:rPr>
                <w:b/>
                <w:sz w:val="19"/>
              </w:rPr>
              <w:t>Resources</w:t>
            </w:r>
          </w:p>
        </w:tc>
        <w:tc>
          <w:tcPr>
            <w:tcW w:type="dxa" w:w="2556"/>
          </w:tcPr>
          <w:p>
            <w:pPr>
              <w:jc w:val="center"/>
            </w:pPr>
            <w:r/>
            <w:r>
              <w:rPr>
                <w:b/>
                <w:sz w:val="19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</w:r>
          </w:p>
        </w:tc>
        <w:tc>
          <w:tcPr>
            <w:tcW w:type="dxa" w:w="2556"/>
          </w:tcPr>
          <w:p>
            <w:r/>
            <w:r>
              <w:rPr>
                <w:b w:val="0"/>
                <w:sz w:val="19"/>
              </w:rPr>
            </w:r>
          </w:p>
        </w:tc>
      </w:tr>
    </w:tbl>
    <w:p>
      <w:pPr>
        <w:spacing w:before="80"/>
      </w:pPr>
      <w:r>
        <w:rPr>
          <w:b/>
        </w:rPr>
        <w:t xml:space="preserve">Overall: </w:t>
      </w:r>
      <w:r>
        <w:rPr>
          <w:b/>
        </w:rPr>
        <w:t>____</w:t>
      </w:r>
    </w:p>
    <w:p>
      <w:pPr>
        <w:spacing w:before="160" w:after="40"/>
      </w:pPr>
      <w:r>
        <w:rPr>
          <w:b/>
          <w:color w:val="1F3A34"/>
          <w:sz w:val="22"/>
        </w:rPr>
        <w:t>Top items this week (pulled from the RAID log)</w:t>
      </w:r>
    </w:p>
    <w:p>
      <w:r>
        <w:t>•  ____________________________________________</w:t>
      </w:r>
    </w:p>
    <w:p>
      <w:r>
        <w:t>•  ____________________________________________</w:t>
      </w:r>
    </w:p>
    <w:p>
      <w:r>
        <w:t>•  ____________________________________________</w:t>
      </w:r>
    </w:p>
    <w:p>
      <w:pPr>
        <w:spacing w:before="200"/>
      </w:pPr>
      <w:r>
        <w:rPr>
          <w:i/>
          <w:color w:val="6B6B6B"/>
          <w:sz w:val="17"/>
        </w:rPr>
        <w:t>Each Amber/Red gets ONE line of why + a named owner. Color tells the room what to talk about. This report is the unit that feeds the Session-1 portfolio dashboard. · IMC PM Training, Session 2.</w:t>
      </w:r>
    </w:p>
    <w:sectPr w:rsidR="00FC693F" w:rsidRPr="0006063C" w:rsidSect="00034616">
      <w:pgSz w:w="12240" w:h="15840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