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</w:pPr>
      <w:r>
        <w:rPr>
          <w:b/>
          <w:color w:val="6B6B6B"/>
          <w:sz w:val="17"/>
        </w:rPr>
        <w:t>IMC PM TOOLKIT · SESSION 2 · WORKED EXAMPLE · NUTRICOL</w:t>
      </w:r>
    </w:p>
    <w:p>
      <w:pPr>
        <w:spacing w:after="0"/>
      </w:pPr>
      <w:r>
        <w:rPr>
          <w:b/>
          <w:color w:val="1F3A34"/>
          <w:sz w:val="38"/>
        </w:rPr>
        <w:t>Governance — one page</w:t>
      </w:r>
    </w:p>
    <w:p>
      <w:pPr>
        <w:spacing w:after="160"/>
      </w:pPr>
      <w:r>
        <w:rPr>
          <w:color w:val="6B6B6B"/>
          <w:sz w:val="21"/>
        </w:rPr>
        <w:t>Who decides (RACI) · how we meet (cadence) · how we escalate. The project's operating system.</w:t>
      </w:r>
    </w:p>
    <w:p>
      <w:pPr>
        <w:spacing w:before="160" w:after="40"/>
      </w:pPr>
      <w:r>
        <w:rPr>
          <w:b/>
          <w:color w:val="1F3A34"/>
          <w:sz w:val="22"/>
        </w:rPr>
        <w:t>1 · RACI — who decides what</w:t>
      </w:r>
    </w:p>
    <w:p>
      <w:r>
        <w:rPr>
          <w:color w:val="6B6B6B"/>
          <w:sz w:val="17"/>
        </w:rPr>
        <w:t>R = Responsible (does it) · A = Accountable (answers for it — exactly ONE per row) · C = Consulted · I = Informed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888"/>
        <w:gridCol w:w="979"/>
        <w:gridCol w:w="979"/>
        <w:gridCol w:w="979"/>
        <w:gridCol w:w="979"/>
        <w:gridCol w:w="979"/>
        <w:gridCol w:w="979"/>
      </w:tblGrid>
      <w:tr>
        <w:tc>
          <w:tcPr>
            <w:tcW w:type="dxa" w:w="1461"/>
            <w:shd w:val="clear" w:color="auto" w:fill="1F3A34"/>
          </w:tcPr>
          <w:p>
            <w:r/>
            <w:r>
              <w:rPr>
                <w:b/>
                <w:color w:val="FFFFFF"/>
                <w:sz w:val="18"/>
              </w:rPr>
              <w:t>Decision / deliverable</w:t>
            </w:r>
          </w:p>
        </w:tc>
        <w:tc>
          <w:tcPr>
            <w:tcW w:type="dxa" w:w="1461"/>
            <w:shd w:val="clear" w:color="auto" w:fill="1F3A34"/>
          </w:tcPr>
          <w:p>
            <w:pPr>
              <w:jc w:val="center"/>
            </w:pPr>
            <w:r/>
            <w:r>
              <w:rPr>
                <w:b/>
                <w:color w:val="FFFFFF"/>
                <w:sz w:val="17"/>
              </w:rPr>
              <w:t>Sponsor</w:t>
            </w:r>
          </w:p>
        </w:tc>
        <w:tc>
          <w:tcPr>
            <w:tcW w:type="dxa" w:w="1461"/>
            <w:shd w:val="clear" w:color="auto" w:fill="1F3A34"/>
          </w:tcPr>
          <w:p>
            <w:pPr>
              <w:jc w:val="center"/>
            </w:pPr>
            <w:r/>
            <w:r>
              <w:rPr>
                <w:b/>
                <w:color w:val="FFFFFF"/>
                <w:sz w:val="17"/>
              </w:rPr>
              <w:t>PM</w:t>
            </w:r>
          </w:p>
        </w:tc>
        <w:tc>
          <w:tcPr>
            <w:tcW w:type="dxa" w:w="1461"/>
            <w:shd w:val="clear" w:color="auto" w:fill="1F3A34"/>
          </w:tcPr>
          <w:p>
            <w:pPr>
              <w:jc w:val="center"/>
            </w:pPr>
            <w:r/>
            <w:r>
              <w:rPr>
                <w:b/>
                <w:color w:val="FFFFFF"/>
                <w:sz w:val="17"/>
              </w:rPr>
              <w:t>BD Lead</w:t>
            </w:r>
          </w:p>
        </w:tc>
        <w:tc>
          <w:tcPr>
            <w:tcW w:type="dxa" w:w="1461"/>
            <w:shd w:val="clear" w:color="auto" w:fill="1F3A34"/>
          </w:tcPr>
          <w:p>
            <w:pPr>
              <w:jc w:val="center"/>
            </w:pPr>
            <w:r/>
            <w:r>
              <w:rPr>
                <w:b/>
                <w:color w:val="FFFFFF"/>
                <w:sz w:val="17"/>
              </w:rPr>
              <w:t>R&amp;D Lead</w:t>
            </w:r>
          </w:p>
        </w:tc>
        <w:tc>
          <w:tcPr>
            <w:tcW w:type="dxa" w:w="1461"/>
            <w:shd w:val="clear" w:color="auto" w:fill="1F3A34"/>
          </w:tcPr>
          <w:p>
            <w:pPr>
              <w:jc w:val="center"/>
            </w:pPr>
            <w:r/>
            <w:r>
              <w:rPr>
                <w:b/>
                <w:color w:val="FFFFFF"/>
                <w:sz w:val="17"/>
              </w:rPr>
              <w:t>QA Lead</w:t>
            </w:r>
          </w:p>
        </w:tc>
        <w:tc>
          <w:tcPr>
            <w:tcW w:type="dxa" w:w="1461"/>
            <w:shd w:val="clear" w:color="auto" w:fill="1F3A34"/>
          </w:tcPr>
          <w:p>
            <w:pPr>
              <w:jc w:val="center"/>
            </w:pPr>
            <w:r/>
            <w:r>
              <w:rPr>
                <w:b/>
                <w:color w:val="FFFFFF"/>
                <w:sz w:val="17"/>
              </w:rPr>
              <w:t>Production Lead</w:t>
            </w:r>
          </w:p>
        </w:tc>
      </w:tr>
      <w:tr>
        <w:tc>
          <w:tcPr>
            <w:tcW w:type="dxa" w:w="1461"/>
          </w:tcPr>
          <w:p>
            <w:r/>
            <w:r>
              <w:rPr>
                <w:b w:val="0"/>
                <w:sz w:val="18"/>
              </w:rPr>
              <w:t>Approve project charter &amp; scope</w:t>
            </w:r>
          </w:p>
        </w:tc>
        <w:tc>
          <w:tcPr>
            <w:tcW w:type="dxa" w:w="1461"/>
            <w:shd w:val="clear" w:color="auto" w:fill="FFEB9C"/>
          </w:tcPr>
          <w:p>
            <w:pPr>
              <w:jc w:val="center"/>
            </w:pPr>
            <w:r/>
            <w:r>
              <w:rPr>
                <w:b/>
                <w:sz w:val="18"/>
              </w:rPr>
              <w:t>A</w:t>
            </w:r>
          </w:p>
        </w:tc>
        <w:tc>
          <w:tcPr>
            <w:tcW w:type="dxa" w:w="1461"/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R</w:t>
            </w:r>
          </w:p>
        </w:tc>
        <w:tc>
          <w:tcPr>
            <w:tcW w:type="dxa" w:w="1461"/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C</w:t>
            </w:r>
          </w:p>
        </w:tc>
        <w:tc>
          <w:tcPr>
            <w:tcW w:type="dxa" w:w="1461"/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C</w:t>
            </w:r>
          </w:p>
        </w:tc>
        <w:tc>
          <w:tcPr>
            <w:tcW w:type="dxa" w:w="1461"/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C</w:t>
            </w:r>
          </w:p>
        </w:tc>
        <w:tc>
          <w:tcPr>
            <w:tcW w:type="dxa" w:w="1461"/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C</w:t>
            </w:r>
          </w:p>
        </w:tc>
      </w:tr>
      <w:tr>
        <w:tc>
          <w:tcPr>
            <w:tcW w:type="dxa" w:w="1461"/>
          </w:tcPr>
          <w:p>
            <w:r/>
            <w:r>
              <w:rPr>
                <w:b w:val="0"/>
                <w:sz w:val="18"/>
              </w:rPr>
              <w:t>Approve a spec / requirement change (CR)</w:t>
            </w:r>
          </w:p>
        </w:tc>
        <w:tc>
          <w:tcPr>
            <w:tcW w:type="dxa" w:w="1461"/>
            <w:shd w:val="clear" w:color="auto" w:fill="FFEB9C"/>
          </w:tcPr>
          <w:p>
            <w:pPr>
              <w:jc w:val="center"/>
            </w:pPr>
            <w:r/>
            <w:r>
              <w:rPr>
                <w:b/>
                <w:sz w:val="18"/>
              </w:rPr>
              <w:t>A</w:t>
            </w:r>
          </w:p>
        </w:tc>
        <w:tc>
          <w:tcPr>
            <w:tcW w:type="dxa" w:w="1461"/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R</w:t>
            </w:r>
          </w:p>
        </w:tc>
        <w:tc>
          <w:tcPr>
            <w:tcW w:type="dxa" w:w="1461"/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C</w:t>
            </w:r>
          </w:p>
        </w:tc>
        <w:tc>
          <w:tcPr>
            <w:tcW w:type="dxa" w:w="1461"/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C</w:t>
            </w:r>
          </w:p>
        </w:tc>
        <w:tc>
          <w:tcPr>
            <w:tcW w:type="dxa" w:w="1461"/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C</w:t>
            </w:r>
          </w:p>
        </w:tc>
        <w:tc>
          <w:tcPr>
            <w:tcW w:type="dxa" w:w="1461"/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C</w:t>
            </w:r>
          </w:p>
        </w:tc>
      </w:tr>
      <w:tr>
        <w:tc>
          <w:tcPr>
            <w:tcW w:type="dxa" w:w="1461"/>
          </w:tcPr>
          <w:p>
            <w:r/>
            <w:r>
              <w:rPr>
                <w:b w:val="0"/>
                <w:sz w:val="18"/>
              </w:rPr>
              <w:t>Final formulation sign-off</w:t>
            </w:r>
          </w:p>
        </w:tc>
        <w:tc>
          <w:tcPr>
            <w:tcW w:type="dxa" w:w="1461"/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I</w:t>
            </w:r>
          </w:p>
        </w:tc>
        <w:tc>
          <w:tcPr>
            <w:tcW w:type="dxa" w:w="1461"/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I</w:t>
            </w:r>
          </w:p>
        </w:tc>
        <w:tc>
          <w:tcPr>
            <w:tcW w:type="dxa" w:w="1461"/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C</w:t>
            </w:r>
          </w:p>
        </w:tc>
        <w:tc>
          <w:tcPr>
            <w:tcW w:type="dxa" w:w="1461"/>
            <w:shd w:val="clear" w:color="auto" w:fill="FFEB9C"/>
          </w:tcPr>
          <w:p>
            <w:pPr>
              <w:jc w:val="center"/>
            </w:pPr>
            <w:r/>
            <w:r>
              <w:rPr>
                <w:b/>
                <w:sz w:val="18"/>
              </w:rPr>
              <w:t>A</w:t>
            </w:r>
          </w:p>
        </w:tc>
        <w:tc>
          <w:tcPr>
            <w:tcW w:type="dxa" w:w="1461"/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C</w:t>
            </w:r>
          </w:p>
        </w:tc>
        <w:tc>
          <w:tcPr>
            <w:tcW w:type="dxa" w:w="1461"/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I</w:t>
            </w:r>
          </w:p>
        </w:tc>
      </w:tr>
      <w:tr>
        <w:tc>
          <w:tcPr>
            <w:tcW w:type="dxa" w:w="1461"/>
          </w:tcPr>
          <w:p>
            <w:r/>
            <w:r>
              <w:rPr>
                <w:b w:val="0"/>
                <w:sz w:val="18"/>
              </w:rPr>
              <w:t>QA / stability test plan &amp; product release</w:t>
            </w:r>
          </w:p>
        </w:tc>
        <w:tc>
          <w:tcPr>
            <w:tcW w:type="dxa" w:w="1461"/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I</w:t>
            </w:r>
          </w:p>
        </w:tc>
        <w:tc>
          <w:tcPr>
            <w:tcW w:type="dxa" w:w="1461"/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I</w:t>
            </w:r>
          </w:p>
        </w:tc>
        <w:tc>
          <w:tcPr>
            <w:tcW w:type="dxa" w:w="1461"/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C</w:t>
            </w:r>
          </w:p>
        </w:tc>
        <w:tc>
          <w:tcPr>
            <w:tcW w:type="dxa" w:w="1461"/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C</w:t>
            </w:r>
          </w:p>
        </w:tc>
        <w:tc>
          <w:tcPr>
            <w:tcW w:type="dxa" w:w="1461"/>
            <w:shd w:val="clear" w:color="auto" w:fill="FFEB9C"/>
          </w:tcPr>
          <w:p>
            <w:pPr>
              <w:jc w:val="center"/>
            </w:pPr>
            <w:r/>
            <w:r>
              <w:rPr>
                <w:b/>
                <w:sz w:val="18"/>
              </w:rPr>
              <w:t>A</w:t>
            </w:r>
          </w:p>
        </w:tc>
        <w:tc>
          <w:tcPr>
            <w:tcW w:type="dxa" w:w="1461"/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I</w:t>
            </w:r>
          </w:p>
        </w:tc>
      </w:tr>
      <w:tr>
        <w:tc>
          <w:tcPr>
            <w:tcW w:type="dxa" w:w="1461"/>
          </w:tcPr>
          <w:p>
            <w:r/>
            <w:r>
              <w:rPr>
                <w:b w:val="0"/>
                <w:sz w:val="18"/>
              </w:rPr>
              <w:t>Customer communication &amp; commercial terms</w:t>
            </w:r>
          </w:p>
        </w:tc>
        <w:tc>
          <w:tcPr>
            <w:tcW w:type="dxa" w:w="1461"/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I</w:t>
            </w:r>
          </w:p>
        </w:tc>
        <w:tc>
          <w:tcPr>
            <w:tcW w:type="dxa" w:w="1461"/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C</w:t>
            </w:r>
          </w:p>
        </w:tc>
        <w:tc>
          <w:tcPr>
            <w:tcW w:type="dxa" w:w="1461"/>
            <w:shd w:val="clear" w:color="auto" w:fill="FFEB9C"/>
          </w:tcPr>
          <w:p>
            <w:pPr>
              <w:jc w:val="center"/>
            </w:pPr>
            <w:r/>
            <w:r>
              <w:rPr>
                <w:b/>
                <w:sz w:val="18"/>
              </w:rPr>
              <w:t>A</w:t>
            </w:r>
          </w:p>
        </w:tc>
        <w:tc>
          <w:tcPr>
            <w:tcW w:type="dxa" w:w="1461"/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I</w:t>
            </w:r>
          </w:p>
        </w:tc>
        <w:tc>
          <w:tcPr>
            <w:tcW w:type="dxa" w:w="1461"/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I</w:t>
            </w:r>
          </w:p>
        </w:tc>
        <w:tc>
          <w:tcPr>
            <w:tcW w:type="dxa" w:w="1461"/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I</w:t>
            </w:r>
          </w:p>
        </w:tc>
      </w:tr>
      <w:tr>
        <w:tc>
          <w:tcPr>
            <w:tcW w:type="dxa" w:w="1461"/>
          </w:tcPr>
          <w:p>
            <w:r/>
            <w:r>
              <w:rPr>
                <w:b w:val="0"/>
                <w:sz w:val="18"/>
              </w:rPr>
              <w:t>Pilot batch &amp; production readiness</w:t>
            </w:r>
          </w:p>
        </w:tc>
        <w:tc>
          <w:tcPr>
            <w:tcW w:type="dxa" w:w="1461"/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I</w:t>
            </w:r>
          </w:p>
        </w:tc>
        <w:tc>
          <w:tcPr>
            <w:tcW w:type="dxa" w:w="1461"/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I</w:t>
            </w:r>
          </w:p>
        </w:tc>
        <w:tc>
          <w:tcPr>
            <w:tcW w:type="dxa" w:w="1461"/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I</w:t>
            </w:r>
          </w:p>
        </w:tc>
        <w:tc>
          <w:tcPr>
            <w:tcW w:type="dxa" w:w="1461"/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C</w:t>
            </w:r>
          </w:p>
        </w:tc>
        <w:tc>
          <w:tcPr>
            <w:tcW w:type="dxa" w:w="1461"/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C</w:t>
            </w:r>
          </w:p>
        </w:tc>
        <w:tc>
          <w:tcPr>
            <w:tcW w:type="dxa" w:w="1461"/>
            <w:shd w:val="clear" w:color="auto" w:fill="FFEB9C"/>
          </w:tcPr>
          <w:p>
            <w:pPr>
              <w:jc w:val="center"/>
            </w:pPr>
            <w:r/>
            <w:r>
              <w:rPr>
                <w:b/>
                <w:sz w:val="18"/>
              </w:rPr>
              <w:t>A</w:t>
            </w:r>
          </w:p>
        </w:tc>
      </w:tr>
      <w:tr>
        <w:tc>
          <w:tcPr>
            <w:tcW w:type="dxa" w:w="1461"/>
          </w:tcPr>
          <w:p>
            <w:r/>
            <w:r>
              <w:rPr>
                <w:b w:val="0"/>
                <w:sz w:val="18"/>
              </w:rPr>
              <w:t>Weekly status report to leadership</w:t>
            </w:r>
          </w:p>
        </w:tc>
        <w:tc>
          <w:tcPr>
            <w:tcW w:type="dxa" w:w="1461"/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I</w:t>
            </w:r>
          </w:p>
        </w:tc>
        <w:tc>
          <w:tcPr>
            <w:tcW w:type="dxa" w:w="1461"/>
            <w:shd w:val="clear" w:color="auto" w:fill="FFEB9C"/>
          </w:tcPr>
          <w:p>
            <w:pPr>
              <w:jc w:val="center"/>
            </w:pPr>
            <w:r/>
            <w:r>
              <w:rPr>
                <w:b/>
                <w:sz w:val="18"/>
              </w:rPr>
              <w:t>A</w:t>
            </w:r>
          </w:p>
        </w:tc>
        <w:tc>
          <w:tcPr>
            <w:tcW w:type="dxa" w:w="1461"/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C</w:t>
            </w:r>
          </w:p>
        </w:tc>
        <w:tc>
          <w:tcPr>
            <w:tcW w:type="dxa" w:w="1461"/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C</w:t>
            </w:r>
          </w:p>
        </w:tc>
        <w:tc>
          <w:tcPr>
            <w:tcW w:type="dxa" w:w="1461"/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C</w:t>
            </w:r>
          </w:p>
        </w:tc>
        <w:tc>
          <w:tcPr>
            <w:tcW w:type="dxa" w:w="1461"/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C</w:t>
            </w:r>
          </w:p>
        </w:tc>
      </w:tr>
    </w:tbl>
    <w:p>
      <w:pPr>
        <w:spacing w:before="160" w:after="40"/>
      </w:pPr>
      <w:r>
        <w:rPr>
          <w:b/>
          <w:color w:val="1F3A34"/>
          <w:sz w:val="22"/>
        </w:rPr>
        <w:t>2 · Cadence — one rhythm, three lenses (all weekly)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872"/>
        <w:gridCol w:w="1872"/>
        <w:gridCol w:w="2304"/>
        <w:gridCol w:w="3744"/>
      </w:tblGrid>
      <w:tr>
        <w:tc>
          <w:tcPr>
            <w:tcW w:type="dxa" w:w="2556"/>
            <w:shd w:val="clear" w:color="auto" w:fill="1F3A34"/>
          </w:tcPr>
          <w:p>
            <w:r/>
            <w:r>
              <w:rPr>
                <w:b/>
                <w:color w:val="FFFFFF"/>
                <w:sz w:val="18"/>
              </w:rPr>
              <w:t>Meeting</w:t>
            </w:r>
          </w:p>
        </w:tc>
        <w:tc>
          <w:tcPr>
            <w:tcW w:type="dxa" w:w="2556"/>
            <w:shd w:val="clear" w:color="auto" w:fill="1F3A34"/>
          </w:tcPr>
          <w:p>
            <w:r/>
            <w:r>
              <w:rPr>
                <w:b/>
                <w:color w:val="FFFFFF"/>
                <w:sz w:val="18"/>
              </w:rPr>
              <w:t>Length</w:t>
            </w:r>
          </w:p>
        </w:tc>
        <w:tc>
          <w:tcPr>
            <w:tcW w:type="dxa" w:w="2556"/>
            <w:shd w:val="clear" w:color="auto" w:fill="1F3A34"/>
          </w:tcPr>
          <w:p>
            <w:r/>
            <w:r>
              <w:rPr>
                <w:b/>
                <w:color w:val="FFFFFF"/>
                <w:sz w:val="18"/>
              </w:rPr>
              <w:t>Who</w:t>
            </w:r>
          </w:p>
        </w:tc>
        <w:tc>
          <w:tcPr>
            <w:tcW w:type="dxa" w:w="2556"/>
            <w:shd w:val="clear" w:color="auto" w:fill="1F3A34"/>
          </w:tcPr>
          <w:p>
            <w:r/>
            <w:r>
              <w:rPr>
                <w:b/>
                <w:color w:val="FFFFFF"/>
                <w:sz w:val="18"/>
              </w:rPr>
              <w:t>Focus</w:t>
            </w:r>
          </w:p>
        </w:tc>
      </w:tr>
      <w:tr>
        <w:tc>
          <w:tcPr>
            <w:tcW w:type="dxa" w:w="2556"/>
          </w:tcPr>
          <w:p>
            <w:r/>
            <w:r>
              <w:rPr>
                <w:b/>
                <w:sz w:val="18"/>
              </w:rPr>
              <w:t>Team weekly</w:t>
            </w:r>
          </w:p>
        </w:tc>
        <w:tc>
          <w:tcPr>
            <w:tcW w:type="dxa" w:w="2556"/>
          </w:tcPr>
          <w:p>
            <w:r/>
            <w:r>
              <w:rPr>
                <w:b w:val="0"/>
                <w:sz w:val="18"/>
              </w:rPr>
              <w:t>~30 min</w:t>
            </w:r>
          </w:p>
        </w:tc>
        <w:tc>
          <w:tcPr>
            <w:tcW w:type="dxa" w:w="2556"/>
          </w:tcPr>
          <w:p>
            <w:r/>
            <w:r>
              <w:rPr>
                <w:b w:val="0"/>
                <w:sz w:val="18"/>
              </w:rPr>
              <w:t>Each Function Lead</w:t>
            </w:r>
          </w:p>
        </w:tc>
        <w:tc>
          <w:tcPr>
            <w:tcW w:type="dxa" w:w="2556"/>
          </w:tcPr>
          <w:p>
            <w:r/>
            <w:r>
              <w:rPr>
                <w:b w:val="0"/>
                <w:sz w:val="18"/>
              </w:rPr>
              <w:t>Activities &amp; blockers in that function</w:t>
            </w:r>
          </w:p>
        </w:tc>
      </w:tr>
      <w:tr>
        <w:tc>
          <w:tcPr>
            <w:tcW w:type="dxa" w:w="2556"/>
          </w:tcPr>
          <w:p>
            <w:r/>
            <w:r>
              <w:rPr>
                <w:b/>
                <w:sz w:val="18"/>
              </w:rPr>
              <w:t>Project weekly</w:t>
            </w:r>
          </w:p>
        </w:tc>
        <w:tc>
          <w:tcPr>
            <w:tcW w:type="dxa" w:w="2556"/>
          </w:tcPr>
          <w:p>
            <w:r/>
            <w:r>
              <w:rPr>
                <w:b w:val="0"/>
                <w:sz w:val="18"/>
              </w:rPr>
              <w:t>~60 min (Thu 09:00)</w:t>
            </w:r>
          </w:p>
        </w:tc>
        <w:tc>
          <w:tcPr>
            <w:tcW w:type="dxa" w:w="2556"/>
          </w:tcPr>
          <w:p>
            <w:r/>
            <w:r>
              <w:rPr>
                <w:b w:val="0"/>
                <w:sz w:val="18"/>
              </w:rPr>
              <w:t>PM + Function Leads</w:t>
            </w:r>
          </w:p>
        </w:tc>
        <w:tc>
          <w:tcPr>
            <w:tcW w:type="dxa" w:w="2556"/>
          </w:tcPr>
          <w:p>
            <w:r/>
            <w:r>
              <w:rPr>
                <w:b w:val="0"/>
                <w:sz w:val="18"/>
              </w:rPr>
              <w:t>Cross-functional decisions, RAID review, status</w:t>
            </w:r>
          </w:p>
        </w:tc>
      </w:tr>
      <w:tr>
        <w:tc>
          <w:tcPr>
            <w:tcW w:type="dxa" w:w="2556"/>
          </w:tcPr>
          <w:p>
            <w:r/>
            <w:r>
              <w:rPr>
                <w:b/>
                <w:sz w:val="18"/>
              </w:rPr>
              <w:t>Portfolio weekly</w:t>
            </w:r>
          </w:p>
        </w:tc>
        <w:tc>
          <w:tcPr>
            <w:tcW w:type="dxa" w:w="2556"/>
          </w:tcPr>
          <w:p>
            <w:r/>
            <w:r>
              <w:rPr>
                <w:b w:val="0"/>
                <w:sz w:val="18"/>
              </w:rPr>
              <w:t>~60 min</w:t>
            </w:r>
          </w:p>
        </w:tc>
        <w:tc>
          <w:tcPr>
            <w:tcW w:type="dxa" w:w="2556"/>
          </w:tcPr>
          <w:p>
            <w:r/>
            <w:r>
              <w:rPr>
                <w:b w:val="0"/>
                <w:sz w:val="18"/>
              </w:rPr>
              <w:t>Sponsor + PMs</w:t>
            </w:r>
          </w:p>
        </w:tc>
        <w:tc>
          <w:tcPr>
            <w:tcW w:type="dxa" w:w="2556"/>
          </w:tcPr>
          <w:p>
            <w:r/>
            <w:r>
              <w:rPr>
                <w:b w:val="0"/>
                <w:sz w:val="18"/>
              </w:rPr>
              <w:t>Priorities &amp; resource conflicts across projects</w:t>
            </w:r>
          </w:p>
        </w:tc>
      </w:tr>
    </w:tbl>
    <w:p>
      <w:pPr>
        <w:spacing w:before="160" w:after="40"/>
      </w:pPr>
      <w:r>
        <w:rPr>
          <w:b/>
          <w:color w:val="1F3A34"/>
          <w:sz w:val="22"/>
        </w:rPr>
        <w:t>3 · Escalation path</w:t>
      </w:r>
    </w:p>
    <w:p>
      <w:r>
        <w:rPr>
          <w:b/>
          <w:color w:val="1F3A34"/>
          <w:sz w:val="20"/>
        </w:rPr>
        <w:t xml:space="preserve">Step 1 — Project level — </w:t>
      </w:r>
      <w:r>
        <w:rPr>
          <w:sz w:val="20"/>
        </w:rPr>
        <w:t>Blocker raised at the Project weekly. PM resolves with the Function Leads within 48 hours.</w:t>
      </w:r>
    </w:p>
    <w:p>
      <w:r>
        <w:rPr>
          <w:b/>
          <w:color w:val="1F3A34"/>
          <w:sz w:val="20"/>
        </w:rPr>
        <w:t xml:space="preserve">Step 2 — Sponsor — </w:t>
      </w:r>
      <w:r>
        <w:rPr>
          <w:sz w:val="20"/>
        </w:rPr>
        <w:t>If unresolved, or it needs authority / budget / a scope change beyond the charter allowance, escalate to the Sponsor. Decision within 3 working days.</w:t>
      </w:r>
    </w:p>
    <w:p>
      <w:pPr>
        <w:shd w:val="clear" w:color="auto" w:fill="FFEB9C"/>
      </w:pPr>
      <w:r>
        <w:rPr>
          <w:sz w:val="18"/>
        </w:rPr>
        <w:t>Escalate immediately when: a scope change exceeds the charter allowance · the date slips more than 1 week · two functions are deadlocked.</w:t>
      </w:r>
    </w:p>
    <w:p>
      <w:pPr>
        <w:spacing w:before="200"/>
      </w:pPr>
      <w:r>
        <w:rPr>
          <w:i/>
          <w:color w:val="6B6B6B"/>
          <w:sz w:val="17"/>
        </w:rPr>
        <w:t>The 'A' column makes hidden ownership conflicts visible — it feeds decision speed &amp; the Resources dimension of the RAG report. Cadence feeds Schedule visibility. · IMC PM Training, Session 2.</w:t>
      </w:r>
    </w:p>
    <w:sectPr w:rsidR="00FC693F" w:rsidRPr="0006063C" w:rsidSect="00034616">
      <w:pgSz w:w="12240" w:h="15840"/>
      <w:pgMar w:top="864" w:right="1008" w:bottom="79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222222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