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6B6B6B"/>
          <w:sz w:val="17"/>
        </w:rPr>
        <w:t>IMC PM TOOLKIT · SESSION 2 · BLANK TEMPLATE</w:t>
      </w:r>
    </w:p>
    <w:p>
      <w:pPr>
        <w:spacing w:after="0"/>
      </w:pPr>
      <w:r>
        <w:rPr>
          <w:b/>
          <w:color w:val="1F3A34"/>
          <w:sz w:val="38"/>
        </w:rPr>
        <w:t>Governance — one page</w:t>
      </w:r>
    </w:p>
    <w:p>
      <w:pPr>
        <w:spacing w:after="160"/>
      </w:pPr>
      <w:r>
        <w:rPr>
          <w:color w:val="6B6B6B"/>
          <w:sz w:val="21"/>
        </w:rPr>
        <w:t>Who decides (RACI) · how we meet (cadence) · how we escalate. The project's operating system.</w:t>
      </w:r>
    </w:p>
    <w:p>
      <w:pPr>
        <w:spacing w:before="160" w:after="40"/>
      </w:pPr>
      <w:r>
        <w:rPr>
          <w:b/>
          <w:color w:val="1F3A34"/>
          <w:sz w:val="22"/>
        </w:rPr>
        <w:t>1 · RACI — who decides what</w:t>
      </w:r>
    </w:p>
    <w:p>
      <w:r>
        <w:rPr>
          <w:color w:val="6B6B6B"/>
          <w:sz w:val="17"/>
        </w:rPr>
        <w:t>R = Responsible (does it) · A = Accountable (answers for it — exactly ONE per row) · C = Consulted · I = Informed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888"/>
        <w:gridCol w:w="979"/>
        <w:gridCol w:w="979"/>
        <w:gridCol w:w="979"/>
        <w:gridCol w:w="979"/>
        <w:gridCol w:w="979"/>
        <w:gridCol w:w="979"/>
      </w:tblGrid>
      <w:tr>
        <w:tc>
          <w:tcPr>
            <w:tcW w:type="dxa" w:w="1461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Decision / deliverable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Sponsor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PM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BD Lead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R&amp;D Lead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QA Lead</w:t>
            </w:r>
          </w:p>
        </w:tc>
        <w:tc>
          <w:tcPr>
            <w:tcW w:type="dxa" w:w="1461"/>
            <w:shd w:val="clear" w:color="auto" w:fill="1F3A34"/>
          </w:tcPr>
          <w:p>
            <w:pPr>
              <w:jc w:val="center"/>
            </w:pPr>
            <w:r/>
            <w:r>
              <w:rPr>
                <w:b/>
                <w:color w:val="FFFFFF"/>
                <w:sz w:val="17"/>
              </w:rPr>
              <w:t>Production Lead</w:t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Approve project charter &amp; scope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Approve a spec / requirement change (CR)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Final formulation sign-off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QA / stability test plan &amp; product release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Customer communication &amp; commercial terms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Pilot batch &amp; production readiness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461"/>
          </w:tcPr>
          <w:p>
            <w:r/>
            <w:r>
              <w:rPr>
                <w:b w:val="0"/>
                <w:sz w:val="18"/>
              </w:rPr>
              <w:t>Weekly status report to leadership</w:t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461"/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2 · Cadence — one rhythm, three lenses (all weekly)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2304"/>
        <w:gridCol w:w="3744"/>
      </w:tblGrid>
      <w:tr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Meeting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Length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Who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Focus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8"/>
              </w:rPr>
              <w:t>Team weekly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8"/>
              </w:rPr>
              <w:t>Project weekly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8"/>
              </w:rPr>
              <w:t>Portfolio weekly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3 · Escalation path</w:t>
      </w:r>
    </w:p>
    <w:p>
      <w:r>
        <w:rPr>
          <w:b/>
          <w:color w:val="1F3A34"/>
          <w:sz w:val="20"/>
        </w:rPr>
        <w:t xml:space="preserve">Step 1 — Project level — </w:t>
      </w:r>
      <w:r>
        <w:rPr>
          <w:sz w:val="20"/>
        </w:rPr>
        <w:t>________________________________________________</w:t>
      </w:r>
    </w:p>
    <w:p>
      <w:r>
        <w:rPr>
          <w:b/>
          <w:color w:val="1F3A34"/>
          <w:sz w:val="20"/>
        </w:rPr>
        <w:t xml:space="preserve">Step 2 — Sponsor — </w:t>
      </w:r>
      <w:r>
        <w:rPr>
          <w:sz w:val="20"/>
        </w:rPr>
        <w:t>________________________________________________</w:t>
      </w:r>
    </w:p>
    <w:p>
      <w:pPr>
        <w:shd w:val="clear" w:color="auto" w:fill="FFEB9C"/>
      </w:pPr>
      <w:r>
        <w:rPr>
          <w:sz w:val="18"/>
        </w:rPr>
        <w:t>(When must something jump straight to the Sponsor? Name the triggers.)</w:t>
      </w:r>
    </w:p>
    <w:p>
      <w:pPr>
        <w:spacing w:before="200"/>
      </w:pPr>
      <w:r>
        <w:rPr>
          <w:i/>
          <w:color w:val="6B6B6B"/>
          <w:sz w:val="17"/>
        </w:rPr>
        <w:t>The 'A' column makes hidden ownership conflicts visible — it feeds decision speed &amp; the Resources dimension of the RAG report. Cadence feeds Schedule visibility. · IMC PM Training, Session 2.</w:t>
      </w:r>
    </w:p>
    <w:sectPr w:rsidR="00FC693F" w:rsidRPr="0006063C" w:rsidSect="00034616"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