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WORKED EXAMPLE · NUTRICOL</w:t>
      </w:r>
    </w:p>
    <w:p>
      <w:pPr>
        <w:spacing w:after="0"/>
      </w:pPr>
      <w:r>
        <w:rPr>
          <w:b/>
          <w:color w:val="1F3A34"/>
          <w:sz w:val="38"/>
        </w:rPr>
        <w:t>Project Charter</w:t>
      </w:r>
    </w:p>
    <w:p>
      <w:pPr>
        <w:spacing w:after="160"/>
      </w:pPr>
      <w:r>
        <w:rPr>
          <w:color w:val="6B6B6B"/>
          <w:sz w:val="21"/>
        </w:rPr>
        <w:t>The 1-page contract. Frame the project before it starts; review it at the first meeting.</w:t>
      </w:r>
    </w:p>
    <w:p>
      <w:pPr>
        <w:spacing w:before="160" w:after="40"/>
      </w:pPr>
      <w:r>
        <w:rPr>
          <w:b/>
          <w:color w:val="1F3A34"/>
          <w:sz w:val="22"/>
        </w:rPr>
        <w:t>Project</w:t>
      </w:r>
    </w:p>
    <w:p>
      <w:r>
        <w:rPr>
          <w:b/>
          <w:sz w:val="24"/>
        </w:rPr>
        <w:t>NutriCol — Marine Collagen OEM Launch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68"/>
        <w:gridCol w:w="6624"/>
      </w:tblGrid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Sponsor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>Deputy GM, Operations</w:t>
            </w:r>
          </w:p>
        </w:tc>
      </w:tr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Project manager (owner)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>PM — NutriCol</w:t>
            </w:r>
          </w:p>
        </w:tc>
      </w:tr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Date written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>25 May 2026</w:t>
            </w:r>
          </w:p>
        </w:tc>
      </w:tr>
      <w:tr>
        <w:tc>
          <w:tcPr>
            <w:tcW w:type="dxa" w:w="5112"/>
            <w:shd w:val="clear" w:color="auto" w:fill="E8EEEC"/>
          </w:tcPr>
          <w:p>
            <w:r/>
            <w:r>
              <w:rPr>
                <w:b/>
                <w:sz w:val="19"/>
              </w:rPr>
              <w:t>Target close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  <w:sz w:val="20"/>
              </w:rPr>
              <w:t>30 Sep 2026 — first mass-production batch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1 · Goal — one sentence</w:t>
      </w:r>
    </w:p>
    <w:p>
      <w:r>
        <w:t>Deliver a market-ready OEM marine-collagen sachet product for the K-Beauty client, from signed brief to first mass-production batch, by 30 Sep 2026.</w:t>
      </w:r>
    </w:p>
    <w:p>
      <w:pPr>
        <w:spacing w:before="160" w:after="40"/>
      </w:pPr>
      <w:r>
        <w:rPr>
          <w:b/>
          <w:color w:val="1F3A34"/>
          <w:sz w:val="22"/>
        </w:rPr>
        <w:t>2 ·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IN — we will deliver</w:t>
            </w:r>
          </w:p>
        </w:tc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OUT — we will not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>• Formulation &amp; R&amp;D of the marine-collagen sachet</w:t>
              <w:br/>
              <w:t>• Stability and dissolution testing</w:t>
              <w:br/>
              <w:t>• QA sign-off and release criteria</w:t>
              <w:br/>
              <w:t>• Packaging &amp; artwork coordination with the customer</w:t>
              <w:br/>
              <w:t>• Pilot batch + first mass-production batch</w:t>
              <w:br/>
              <w:t>• Export regulatory dossier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>• Customer's own marketing, branding and retail pricing</w:t>
              <w:br/>
              <w:t>• Distribution &amp; logistics after FOB</w:t>
              <w:br/>
              <w:t>• A second product variant (deferred to a later project)</w:t>
              <w:br/>
              <w:t>• After-sales / consumer support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Contested boundary — read this out loud at kickoff</w:t>
      </w:r>
    </w:p>
    <w:p>
      <w:pPr>
        <w:shd w:val="clear" w:color="auto" w:fill="FFEB9C"/>
      </w:pPr>
      <w:r>
        <w:rPr>
          <w:sz w:val="20"/>
        </w:rPr>
        <w:t>ONE spec change (flavor + dosage) is absorbed within the current timeline. Any further change goes through change control and may move the date.</w:t>
      </w:r>
    </w:p>
    <w:p>
      <w:pPr>
        <w:spacing w:before="160" w:after="40"/>
      </w:pPr>
      <w:r>
        <w:rPr>
          <w:b/>
          <w:color w:val="1F3A34"/>
          <w:sz w:val="22"/>
        </w:rPr>
        <w:t>3 · Owner (Accountable)</w:t>
      </w:r>
    </w:p>
    <w:p>
      <w:r>
        <w:t>PM — NutriCol. One name. The person who answers for the project.</w:t>
      </w:r>
    </w:p>
    <w:p>
      <w:pPr>
        <w:spacing w:before="160" w:after="40"/>
      </w:pPr>
      <w:r>
        <w:rPr>
          <w:b/>
          <w:color w:val="1F3A34"/>
          <w:sz w:val="22"/>
        </w:rPr>
        <w:t>4 · Plan — work streams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912"/>
        <w:gridCol w:w="2880"/>
      </w:tblGrid>
      <w:tr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Work stream</w:t>
            </w:r>
          </w:p>
        </w:tc>
        <w:tc>
          <w:tcPr>
            <w:tcW w:type="dxa" w:w="5112"/>
            <w:shd w:val="clear" w:color="auto" w:fill="1F3A34"/>
          </w:tcPr>
          <w:p>
            <w:r/>
            <w:r>
              <w:rPr>
                <w:b/>
                <w:color w:val="FFFFFF"/>
              </w:rPr>
              <w:t>Lead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>Formulation &amp; R&amp;D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>R&amp;D Lead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>QA, stability &amp; regulatory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>QA Lead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>Packaging &amp; artwork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>BD Lead</w:t>
            </w:r>
          </w:p>
        </w:tc>
      </w:tr>
      <w:tr>
        <w:tc>
          <w:tcPr>
            <w:tcW w:type="dxa" w:w="5112"/>
          </w:tcPr>
          <w:p>
            <w:r/>
            <w:r>
              <w:rPr>
                <w:b w:val="0"/>
              </w:rPr>
              <w:t>Production readiness &amp; pilot batch</w:t>
            </w:r>
          </w:p>
        </w:tc>
        <w:tc>
          <w:tcPr>
            <w:tcW w:type="dxa" w:w="5112"/>
          </w:tcPr>
          <w:p>
            <w:r/>
            <w:r>
              <w:rPr>
                <w:b w:val="0"/>
              </w:rPr>
              <w:t>Production Lead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5 · Heartbeat — the weekly rhythm</w:t>
      </w:r>
    </w:p>
    <w:p>
      <w:r>
        <w:t>Weekly project sync — Thursdays 09:00, 60 min (PM + Function Leads); the 1-page RAG report is produced at that sync. Each function runs its own ~30-min team weekly.</w:t>
      </w:r>
    </w:p>
    <w:p>
      <w:pPr>
        <w:spacing w:before="200"/>
      </w:pPr>
      <w:r>
        <w:rPr>
          <w:i/>
          <w:color w:val="6B6B6B"/>
          <w:sz w:val="17"/>
        </w:rPr>
        <w:t>Charter feeds the SCOPE dimension of the RAG report. No charter → Scope is Red by default. · IMC PM Training, Session 2.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