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6B6B6B"/>
          <w:sz w:val="17"/>
        </w:rPr>
        <w:t>IMC PM TOOLKIT · SESSION 2 · WORKED EXAMPLE · NUTRICOL</w:t>
      </w:r>
    </w:p>
    <w:p>
      <w:pPr>
        <w:spacing w:after="0"/>
      </w:pPr>
      <w:r>
        <w:rPr>
          <w:b/>
          <w:color w:val="1F3A34"/>
          <w:sz w:val="38"/>
        </w:rPr>
        <w:t>Project Canvas</w:t>
      </w:r>
    </w:p>
    <w:p>
      <w:pPr>
        <w:spacing w:after="160"/>
      </w:pPr>
      <w:r>
        <w:rPr>
          <w:color w:val="6B6B6B"/>
          <w:sz w:val="21"/>
        </w:rPr>
        <w:t>One page, four domains (Why · Who · What/How/When · Where). A fuller brief for bigger or cross-functional projects — based on Antonio Nieto-Rodriguez's Project Canvas.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pPr>
              <w:spacing w:after="40"/>
              <w:shd w:val="clear" w:color="auto" w:fill="1F3A34"/>
            </w:pPr>
            <w:r/>
            <w:r>
              <w:rPr>
                <w:b/>
                <w:color w:val="FFFFFF"/>
                <w:sz w:val="19"/>
              </w:rPr>
              <w:t>Why — rationale &amp; purpose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Purpose: </w:t>
            </w:r>
            <w:r>
              <w:rPr>
                <w:sz w:val="17"/>
              </w:rPr>
              <w:t>Deliver a market-ready OEM marine-collagen sachet product for the K-Beauty client, from signed brief to first mass-production batch, by 30 Sep 2026.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Business rationale: </w:t>
            </w:r>
            <w:r>
              <w:rPr>
                <w:sz w:val="17"/>
              </w:rPr>
              <w:t>Opens an OEM revenue line with a K-Beauty client and proves IMC can run marine-collagen sachet production end-to-end.</w:t>
            </w:r>
          </w:p>
        </w:tc>
        <w:tc>
          <w:tcPr>
            <w:tcW w:type="dxa" w:w="7200"/>
          </w:tcPr>
          <w:p>
            <w:pPr>
              <w:spacing w:after="40"/>
              <w:shd w:val="clear" w:color="auto" w:fill="1F3A34"/>
            </w:pPr>
            <w:r/>
            <w:r>
              <w:rPr>
                <w:b/>
                <w:color w:val="FFFFFF"/>
                <w:sz w:val="19"/>
              </w:rPr>
              <w:t>Who — accountability &amp; governance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Sponsor: </w:t>
            </w:r>
            <w:r>
              <w:rPr>
                <w:sz w:val="17"/>
              </w:rPr>
              <w:t>Deputy GM, Operations — approves scope, charter changes and the budget.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Owner (Accountable): </w:t>
            </w:r>
            <w:r>
              <w:rPr>
                <w:sz w:val="17"/>
              </w:rPr>
              <w:t>PM — NutriCol. One name; answers for the project.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Resources / team: </w:t>
            </w:r>
            <w:r>
              <w:rPr>
                <w:sz w:val="17"/>
              </w:rPr>
              <w:t>Function Leads: BD · R&amp;D · QA · Production. Governed by the RACI on the governance one-pager.</w:t>
            </w:r>
          </w:p>
        </w:tc>
      </w:tr>
      <w:tr>
        <w:tc>
          <w:tcPr>
            <w:tcW w:type="dxa" w:w="14400"/>
            <w:gridSpan w:val="2"/>
          </w:tcPr>
          <w:p>
            <w:pPr>
              <w:spacing w:after="40"/>
              <w:shd w:val="clear" w:color="auto" w:fill="1F3A34"/>
            </w:pPr>
            <w:r/>
            <w:r>
              <w:rPr>
                <w:b/>
                <w:color w:val="FFFFFF"/>
                <w:sz w:val="19"/>
              </w:rPr>
              <w:t>What · How · When — definition, plan &amp; risk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Deliverables (in scope): </w:t>
            </w:r>
            <w:r>
              <w:rPr>
                <w:sz w:val="17"/>
              </w:rPr>
              <w:t>Sachet formulation &amp; R&amp;D · stability/dissolution testing · QA release criteria · packaging &amp; artwork · pilot + first mass-production batch · export regulatory dossier.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Out of scope: </w:t>
            </w:r>
            <w:r>
              <w:rPr>
                <w:sz w:val="17"/>
              </w:rPr>
              <w:t>Customer marketing/branding/pricing · distribution after FOB · a 2nd variant · after-sales / consumer support.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Plan &amp; milestones: </w:t>
            </w:r>
            <w:r>
              <w:rPr>
                <w:sz w:val="17"/>
              </w:rPr>
              <w:t>4 work streams (R&amp;D · QA/regulatory · packaging · production). Pilot batch then first mass-production batch by 30 Sep 2026. Re-baseline +2 wks once CR is approved.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Top risks (from RAID): </w:t>
            </w:r>
            <w:r>
              <w:rPr>
                <w:sz w:val="17"/>
              </w:rPr>
              <w:t>C-01 spec change in change control · D-01 peach-flavor material 4-wk lead time (the constraint) · R-01 higher dose may fail stability.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Stakeholders: </w:t>
            </w:r>
            <w:r>
              <w:rPr>
                <w:sz w:val="17"/>
              </w:rPr>
              <w:t>K-Beauty customer · Sponsor &amp; leadership portfolio review · regulatory affairs.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Change approach: </w:t>
            </w:r>
            <w:r>
              <w:rPr>
                <w:sz w:val="17"/>
              </w:rPr>
              <w:t>ONE spec change (flavor + dosage) absorbed in the current timeline; any further change goes through change control and may move the date.</w:t>
            </w:r>
          </w:p>
        </w:tc>
      </w:tr>
      <w:tr>
        <w:tc>
          <w:tcPr>
            <w:tcW w:type="dxa" w:w="14400"/>
            <w:gridSpan w:val="2"/>
          </w:tcPr>
          <w:p>
            <w:pPr>
              <w:spacing w:after="40"/>
              <w:shd w:val="clear" w:color="auto" w:fill="1F3A34"/>
            </w:pPr>
            <w:r/>
            <w:r>
              <w:rPr>
                <w:b/>
                <w:color w:val="FFFFFF"/>
                <w:sz w:val="19"/>
              </w:rPr>
              <w:t>Where — organization &amp; context</w:t>
            </w:r>
          </w:p>
          <w:p>
            <w:pPr>
              <w:spacing w:after="40"/>
            </w:pPr>
            <w:r>
              <w:rPr>
                <w:b/>
                <w:color w:val="1F3A34"/>
                <w:sz w:val="17"/>
              </w:rPr>
              <w:t xml:space="preserve">Context: </w:t>
            </w:r>
            <w:r>
              <w:rPr>
                <w:sz w:val="17"/>
              </w:rPr>
              <w:t>OEM build for an external K-Beauty client; cross-functional inside IMC; the project's weekly RAG report rolls up to the portfolio review above it.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Heartbeat — the weekly rhythm</w:t>
      </w:r>
    </w:p>
    <w:p>
      <w:r>
        <w:t>Weekly project sync — Thursdays 09:00 (PM + Function Leads); the 1-page RAG report is produced at that sync and feeds the portfolio dashboard.</w:t>
      </w:r>
    </w:p>
    <w:p>
      <w:pPr>
        <w:spacing w:before="200"/>
      </w:pPr>
      <w:r>
        <w:rPr>
          <w:i/>
          <w:color w:val="6B6B6B"/>
          <w:sz w:val="17"/>
        </w:rPr>
        <w:t>The Project Canvas is an alternative to the 1-page charter — a fuller brief for bigger or cross-functional work. Same Goal / Scope / Owner feed the RAG report. · IMC PM Training, Session 2.</w:t>
      </w:r>
    </w:p>
    <w:sectPr w:rsidR="00FC693F" w:rsidRPr="0006063C" w:rsidSect="00034616">
      <w:pgSz w:w="15840" w:h="12240" w:orient="landscape"/>
      <w:pgMar w:top="64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